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6942d4c5f6ae465f" /></Relationships>
</file>

<file path=word/document.xml><?xml version="1.0" encoding="utf-8"?>
<w:document xmlns:w="http://schemas.openxmlformats.org/wordprocessingml/2006/main">
  <w:body>
    <w:tbl>
      <w:tblPr>
        <w:tblW w:w="9000" w:type="dxa"/>
        <w:tblBorders>
          <w:top w:val="nil"/>
          <w:bottom w:val="nil"/>
          <w:left w:val="nil"/>
          <w:right w:val="nil"/>
          <w:insideH w:val="nil"/>
          <w:insideV w:val="nil"/>
        </w:tblBorders>
        <w:tblCellSpacing w:w="60" w:type="dxa"/>
        <w:shd w:val="clear" w:color="auto" w:fill="E7F0F9"/>
      </w:tblPr>
      <w:tblGrid>
        <w:gridCol w:w="1200"/>
        <w:gridCol w:w="4500"/>
      </w:tblGrid>
      <w:tr>
        <w:tc>
          <w:tcPr>
            <w:tcW w:w="1200" w:type="pct"/>
            <w:shd w:val="clear" w:color="auto" w:fill="E7F0F9"/>
          </w:tcPr>
          <w:p>
            <w:pPr>
              <w:spacing w:before="0" w:after="0" w:line="240" w:lineRule="auto"/>
              <w:jc w:val="left"/>
            </w:pPr>
            <w:r>
              <w:rPr>
                <w:b/>
              </w:rPr>
              <w:t xml:space="preserve">RKP broj</w:t>
            </w:r>
          </w:p>
        </w:tc>
        <w:tc>
          <w:tcPr>
            <w:shd w:val="clear" w:color="auto" w:fill="E7F0F9"/>
          </w:tcPr>
          <w:p>
            <w:pPr>
              <w:spacing w:before="0" w:after="0" w:line="240" w:lineRule="auto"/>
              <w:jc w:val="left"/>
            </w:pPr>
            <w:r>
              <w:t xml:space="preserve">47535</w:t>
            </w:r>
          </w:p>
        </w:tc>
      </w:tr>
      <w:tr>
        <w:tc>
          <w:tcPr>
            <w:tcW w:w="1200" w:type="pct"/>
            <w:shd w:val="clear" w:color="auto" w:fill="E7F0F9"/>
          </w:tcPr>
          <w:p>
            <w:pPr>
              <w:spacing w:before="0" w:after="0" w:line="240" w:lineRule="auto"/>
              <w:jc w:val="left"/>
            </w:pPr>
            <w:r>
              <w:rPr>
                <w:b/>
              </w:rPr>
              <w:t xml:space="preserve">Naziv obveznika</w:t>
            </w:r>
          </w:p>
        </w:tc>
        <w:tc>
          <w:tcPr>
            <w:shd w:val="clear" w:color="auto" w:fill="E7F0F9"/>
          </w:tcPr>
          <w:p>
            <w:pPr>
              <w:spacing w:before="0" w:after="0" w:line="240" w:lineRule="auto"/>
              <w:jc w:val="left"/>
            </w:pPr>
            <w:r>
              <w:t xml:space="preserve">ZAVOD ZA HITNU MEDICINU LIČKO-SENJSKE ŽUPANIJE</w:t>
            </w:r>
          </w:p>
        </w:tc>
      </w:tr>
      <w:tr>
        <w:tc>
          <w:tcPr>
            <w:tcW w:w="1200" w:type="pct"/>
            <w:shd w:val="clear" w:color="auto" w:fill="E7F0F9"/>
          </w:tcPr>
          <w:p>
            <w:pPr>
              <w:spacing w:before="0" w:after="0" w:line="240" w:lineRule="auto"/>
              <w:jc w:val="left"/>
            </w:pPr>
            <w:r>
              <w:rPr>
                <w:b/>
              </w:rPr>
              <w:t xml:space="preserve">Razina</w:t>
            </w:r>
          </w:p>
        </w:tc>
        <w:tc>
          <w:tcPr>
            <w:shd w:val="clear" w:color="auto" w:fill="E7F0F9"/>
          </w:tcPr>
          <w:p>
            <w:pPr>
              <w:spacing w:before="0" w:after="0" w:line="240" w:lineRule="auto"/>
              <w:jc w:val="left"/>
            </w:pPr>
            <w:r>
              <w:t xml:space="preserve">31</w:t>
            </w:r>
          </w:p>
        </w:tc>
      </w:tr>
    </w:tbl>
    <w:p>
      <w:r>
        <w:br/>
      </w:r>
    </w:p>
    <w:p>
      <w:pPr>
        <w:jc w:val="center"/>
        <w:pStyle w:val="Normal"/>
        <w:spacing w:line="240" w:lineRule="auto"/>
      </w:pPr>
      <w:r>
        <w:rPr>
          <w:b/>
          <w:sz w:val="28"/>
          <w:rFonts w:ascii="Times New Roman" w:hAnsi="Times New Roman"/>
        </w:rPr>
        <w:t xml:space="preserve">BILJEŠKE UZ FINANCIJSKE IZVJEŠTAJE</w:t>
      </w:r>
    </w:p>
    <w:p>
      <w:pPr>
        <w:jc w:val="center"/>
        <w:pStyle w:val="Normal"/>
        <w:spacing w:line="240" w:lineRule="auto"/>
      </w:pPr>
      <w:r>
        <w:rPr>
          <w:b/>
          <w:sz w:val="28"/>
          <w:rFonts w:ascii="Times New Roman" w:hAnsi="Times New Roman"/>
        </w:rPr>
        <w:t xml:space="preserve">ZA RAZDOBLJE</w:t>
      </w:r>
    </w:p>
    <w:p>
      <w:pPr>
        <w:jc w:val="center"/>
        <w:pStyle w:val="Normal"/>
        <w:spacing w:line="240" w:lineRule="auto"/>
      </w:pPr>
      <w:r>
        <w:rPr>
          <w:b/>
          <w:sz w:val="28"/>
          <w:rFonts w:ascii="Times New Roman" w:hAnsi="Times New Roman"/>
        </w:rPr>
        <w:t xml:space="preserve">I - VI 2026.</w:t>
      </w:r>
    </w:p>
    <w:p/>
    <w:p>
      <w:pPr>
        <w:jc w:val="center"/>
        <w:pStyle w:val="Normal"/>
        <w:spacing w:line="240" w:lineRule="auto"/>
        <w:keepNext/>
      </w:pPr>
      <w:r>
        <w:rPr>
          <w:b/>
          <w:sz w:val="28"/>
          <w:rFonts w:ascii="Times New Roman" w:hAnsi="Times New Roman"/>
        </w:rPr>
        <w:t xml:space="preserve">Izvještaj o prihodima i rashodima, primicima i izdacima</w:t>
      </w:r>
    </w:p>
    <w:p>
      <w:pPr>
        <w:jc w:val="center"/>
        <w:pStyle w:val="Normal"/>
        <w:spacing w:line="240" w:lineRule="auto"/>
        <w:keepNext/>
      </w:pPr>
      <w:r>
        <w:rPr>
          <w:sz w:val="28"/>
          <w:rFonts w:ascii="Times New Roman" w:hAnsi="Times New Roman"/>
        </w:rPr>
        <w:t xml:space="preserve">Bilješka 1.</w:t>
      </w:r>
    </w:p>
    <w:tbl>
      <w:tblPr>
        <w:tblBorders>
          <w:top w:val="single" w:color="BABABA" w:sz="12"/>
          <w:bottom w:val="single" w:color="BABABA" w:sz="12"/>
          <w:left w:val="single" w:color="BABABA" w:sz="12"/>
          <w:right w:val="single" w:color="BABABA" w:sz="12"/>
          <w:insideH w:val="single" w:color="BABABA" w:sz="8"/>
          <w:insideV w:val="single" w:color="DADADA" w:sz="8"/>
        </w:tblBorders>
        <w:tblW w:w="0" w:type="auto"/>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POSLOVANJA (šifre 61+62+63+64+65+66+67+68)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4.579.452,53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4.951.477,47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108,1</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4.283.450,54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4.643.676,40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108,4</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PRIHODA POSLOVANJA (šifre 6-Z005)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296.001,99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307.801,07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104,0</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nefinancijske imovine (šifre 71+72+73+74)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2.120,00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31.622,47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1.190.831,11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3765,8</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OD NEFINANCIJSKE IMOVINE (šifre 4-7)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31.622,47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1.188.711,11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3759,1</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od financijske imovine i zaduživanja (šifre 81+82+83+84+85)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financijsku imovinu i otplate zajmova (šifre 51+52+53+54+55)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9.156,00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VIŠAK/MANJAK PRIMITAKA OD FINANCIJSKE IMOVINE I ZADUŽIVANJA (šifre 8-5, 5-8)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X003, Y003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9.156,00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I PRIMITAKA (šifre Y345-X678)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880.910,04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bl>
    <w:p>
      <w:pPr>
        <w:spacing w:before="0" w:after="0"/>
      </w:pPr>
    </w:p>
    <w:p>
      <w:r>
        <w:t xml:space="preserve">Zavod za hitnu medicinu Ličko – senjske županije osnovan je odlukom Skupštine Ličko – senjske županije o osnivanju Zavoda za hitnu medicinu („Županijski glasnik“, br. 10/11) od 31. ožujka 2011. godine. Zavod je službeno započeo s radom 1. ožujka 2012. godine.</w:t>
      </w:r>
    </w:p>
    <w:p>
      <w:pPr>
        <w:jc w:val="both"/>
      </w:pPr>
      <w:r>
        <w:t xml:space="preserve">Svoju djelatnost Zavod obavlja u osam ispostava u Ličko – senjskoj županiji: Ispostave Gospić, Otočac, Senj, Novalja, Korenica, Lovinac, Karlobag i Brinje. Od dana 1. veljače 2024. godine Zavod je od domova zdravlja na području Ličko-senjske županije (DZ Gospić, DZ Otočac, DZ Korenica, DZ Novalja i DZ Senj) preuzeo djelatnost sanitetskog prijevoza i to 59 radnika i 31 vozilo sanitetskog prijevoza. Ukupan broj zaposlenih na dan 30.06.2026. godine je 212. Broj zaposlenika je povećan u odnosu na isto razdoblje prethodne godine zbog većeg broja vlastitih zaposlenika u novoj ispostavi Brinje.</w:t>
      </w:r>
    </w:p>
    <w:p>
      <w:pPr>
        <w:jc w:val="both"/>
      </w:pPr>
      <w:r>
        <w:t xml:space="preserve">Zavod je proračunski korisnik Ličko-senjske županije. Zavod se financira iz sredstava HZZO-a, Ličko-senjske županije, EU sredstava, nenadležnih proračuna,  vlastitih prihoda, pomoći i ostalih prihoda.</w:t>
      </w:r>
    </w:p>
    <w:p>
      <w:pPr>
        <w:jc w:val="both"/>
      </w:pPr>
      <w:r>
        <w:t xml:space="preserve">U razdoblju od 1. siječnja do 30. lipnja 2026. godine prihodi poslovanja ostvareni su u iznosu od 4.951.477,47 EUR. Najznačajnije povećanje prihoda poslovanja ostvareno je od prihoda iz nadležnog proračuna i od HZZO-a na temelju ugovornih obveza i to zbog doznačenog dijela decentraliziranih sredstava, veće glavarine i ostalih prihoda od HZZO-a. Povećane su i ostale pozicije prihoda poslovanja, gdje je najveće povećanje na pomoćima temeljem prijenosa EU sredstava zbog doznačenih sredstava u iznosu od 66.020,69 EUR, po predanim zahtjevima za nadoknadom sredstava za rashode iz prethodnog razdoblja. Povećani su i prihodi po posebnim propisima zbog većeg broja šteta na vozilima te većih refundacija šteta po policama osiguranja vozila. Od značajnijih smanjenja prihoda poslovanja u promatranom razdoblju 2026. g., u odnosu na isto razdoblje prethodne godine, evidentirano je smanjenje prihoda od pruženih usluga iz razloga isteka ugovora sklopljenog s Ministarstvom unutarnjih poslova, za osiguranje medicinskog tima na poslovima razminiranja, pri čemu nije iskazana potreba od strane MUP RH za daljnjim pružanjem ovih usluga. </w:t>
      </w:r>
    </w:p>
    <w:p>
      <w:pPr>
        <w:jc w:val="both"/>
      </w:pPr>
      <w:r>
        <w:t xml:space="preserve">Rashodi poslovanja u razdoblju od 1. siječnja 2026. godine do 30. lipnja 2026. godine izvršeni su u iznosu od 4.643.676,40 EUR. Najznačajnije povećanje rashoda evidentirano je na rashodima za zaposlene uslijed povećanja plaća. Povećani su i materijalni rashodi zbog povećanja naknada troškova zaposlenima, rashoda za materijal i energiju, rashoda za usluge, manjeg povećanja rashoda lijekova i potrošnog medicinskog materijala i većih ostalih nespomenutih rashoda, a u skladu s potrebama redovnog poslovanja i ostvarenjima na prihodovnoj strani.</w:t>
      </w:r>
    </w:p>
    <w:p>
      <w:pPr>
        <w:jc w:val="both"/>
      </w:pPr>
      <w:r>
        <w:t xml:space="preserve">U navedenom razdoblju prihodi od prodaje nefinancijske imovine iznose 2.120,00 EUR i odnose se na prodaju jednog dotrajalog i rashodovanog vozila Zavoda, a rashodi za nabavu nefinancijske imovine izvršeni su u iznosu od 1.190.831,11 EUR i povećani su prvenstveno radi nabave sedam vozila sanitetskog prijevoza, dva vozila hitne medicinske pomoći za koja se PDV prijavljuje, knjiži i plaća u srpnju 2026. godine (isporuka vozila iz zemlje članice EU u lipnju 2026. g.) i 139.551,10 EUR nabave medicinske i ostale opreme.</w:t>
      </w:r>
    </w:p>
    <w:p>
      <w:pPr>
        <w:jc w:val="both"/>
      </w:pPr>
      <w:r>
        <w:t xml:space="preserve">U navedenom razdoblju nisu ostvareni primici od financijske imovine niti izdaci za financijsku imovinu i otplate zajmova, dok su u istom razdoblju prethodne godine iznosili 9.156,00 EUR te su se odnosili na dane jamčevne pologe. U ovoj godini nije bilo davanja jamčevnih pologa u postupcima javne nabave, a povrat ranije danih jamčevnih pologa očekuje se u narednom razdoblju 2026. g.</w:t>
      </w:r>
    </w:p>
    <w:p>
      <w:pPr>
        <w:jc w:val="both"/>
      </w:pPr>
      <w:r>
        <w:t xml:space="preserve">U razdoblju od 1. siječnja do 30. lipnja 2026. godine, ostvaren je višak prihoda poslovanja u iznosu od 307.801,07 EUR i manjak prihoda od nefinancijske imovine u iznosu od 1.188.711,11 EUR, slijedom čega je na kraju izvještajnog razdoblja ostvaren ukupan manjak prihoda i primitaka u iznosu od 880.910,04 EUR. Ostvaren je manjak prihoda iz razloga nabave sedam vozila za sanitetski prijevoz koja su isporučena u veljači 2026. g., kao i dva vozila hitne medicinske pomoći isporučena u lipnju 2026. g., a financiranje istih je u najvećoj mjeri planirano iz prenesenog viška prihoda koji iznosi 2.325.894,59 EUR.</w:t>
      </w:r>
    </w:p>
    <w:p>
      <w:pPr>
        <w:jc w:val="both"/>
      </w:pPr>
      <w:r>
        <w:t xml:space="preserve"> </w:t>
      </w:r>
    </w:p>
    <w:p>
      <w:r>
        <w:br/>
      </w:r>
    </w:p>
    <w:p>
      <w:pPr>
        <w:jc w:val="center"/>
        <w:pStyle w:val="Normal"/>
        <w:spacing w:line="240" w:lineRule="auto"/>
        <w:keepNext/>
      </w:pPr>
      <w:r>
        <w:rPr>
          <w:sz w:val="28"/>
          <w:rFonts w:ascii="Times New Roman" w:hAnsi="Times New Roman"/>
        </w:rPr>
        <w:t xml:space="preserve">Bilješka 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6361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proračunskim korisnicima iz proračuna koji im nije nadležan</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6361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10.608,87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9.300,00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87,7</w:t>
            </w:r>
          </w:p>
        </w:tc>
      </w:tr>
    </w:tbl>
    <w:p>
      <w:pPr>
        <w:spacing w:before="0" w:after="0"/>
      </w:pPr>
    </w:p>
    <w:p>
      <w:pPr>
        <w:jc w:val="both"/>
      </w:pPr>
      <w:r>
        <w:t xml:space="preserve">Tekuće pomoći proračunskim korisnicima iz proračuna koji im nije nadležan bilježe smanjenje od 1.308,87 EUR u odnosu na prethodno razdoblje jer je prethodne godine Grad Novalja doznačio sredstva za pripravnost iz prosinca 2024. godine, a u 2025. i 2026. godini se financira isključivo preko HZZO-a.</w:t>
      </w:r>
    </w:p>
    <w:p/>
    <w:p>
      <w:pPr>
        <w:jc w:val="center"/>
        <w:pStyle w:val="Normal"/>
        <w:spacing w:line="240" w:lineRule="auto"/>
        <w:keepNext/>
      </w:pPr>
      <w:r>
        <w:rPr>
          <w:sz w:val="28"/>
          <w:rFonts w:ascii="Times New Roman" w:hAnsi="Times New Roman"/>
        </w:rPr>
        <w:t xml:space="preserve">Bilješka 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temeljem prijenosa EU sredstava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7.497,28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66.020,69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880,6</w:t>
            </w:r>
          </w:p>
        </w:tc>
      </w:tr>
    </w:tbl>
    <w:p>
      <w:pPr>
        <w:spacing w:before="0" w:after="0"/>
      </w:pPr>
    </w:p>
    <w:p>
      <w:pPr>
        <w:jc w:val="both"/>
      </w:pPr>
      <w:r>
        <w:t xml:space="preserve">Tekuće pomoći temeljem prijenosa EU sredstava su povećane za 58.523,41 EUR jer su uplaćena sredstva po prvom i drugom zahtjevu za nadoknadom sredstava, za „specijalističko usavršavanje medicinskih sestara i tehničara u djelatnosti hitne medicine-faza 2“, a temeljem ugovora sklopljenog krajem 2025. godine.</w:t>
      </w:r>
    </w:p>
    <w:p/>
    <w:p>
      <w:pPr>
        <w:jc w:val="center"/>
        <w:pStyle w:val="Normal"/>
        <w:spacing w:line="240" w:lineRule="auto"/>
        <w:keepNext/>
      </w:pPr>
      <w:r>
        <w:rPr>
          <w:sz w:val="28"/>
          <w:rFonts w:ascii="Times New Roman" w:hAnsi="Times New Roman"/>
        </w:rPr>
        <w:t xml:space="preserve">Bilješka 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6526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nespomenuti prihodi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5.688,01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21.643,14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380,5</w:t>
            </w:r>
          </w:p>
        </w:tc>
      </w:tr>
    </w:tbl>
    <w:p>
      <w:pPr>
        <w:spacing w:before="0" w:after="0"/>
      </w:pPr>
    </w:p>
    <w:p>
      <w:pPr>
        <w:jc w:val="both"/>
      </w:pPr>
      <w:r>
        <w:t xml:space="preserve">Ostali nespomenuti prihodi bilježe povećanje od 15.955,13 EUR zbog većih isplata po štetama AO i kasko osiguranja vozila. </w:t>
      </w:r>
    </w:p>
    <w:p/>
    <w:p>
      <w:pPr>
        <w:jc w:val="center"/>
        <w:pStyle w:val="Normal"/>
        <w:spacing w:line="240" w:lineRule="auto"/>
        <w:keepNext/>
      </w:pPr>
      <w:r>
        <w:rPr>
          <w:sz w:val="28"/>
          <w:rFonts w:ascii="Times New Roman" w:hAnsi="Times New Roman"/>
        </w:rPr>
        <w:t xml:space="preserve">Bilješka 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6615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pruženih usluga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6615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72.364,96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50.575,28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69,9</w:t>
            </w:r>
          </w:p>
        </w:tc>
      </w:tr>
    </w:tbl>
    <w:p>
      <w:pPr>
        <w:spacing w:before="0" w:after="0"/>
      </w:pPr>
    </w:p>
    <w:p>
      <w:pPr>
        <w:jc w:val="both"/>
      </w:pPr>
      <w:r>
        <w:t xml:space="preserve">Prihodi od pruženih usluga smanjeni su za 21.789,68 EU zbog isteka ugovora za pružanje usluga osiguranja medicinskog tima na poslovima razminiranja, koji je Zavod sklopio s Ministarstvom unutarnjih poslova. Isti je istekao te nije ugovorena usluga za 2026. godinu jer nije niti zatražena od strane naručitelja.</w:t>
      </w:r>
    </w:p>
    <w:p/>
    <w:p>
      <w:pPr>
        <w:jc w:val="center"/>
        <w:pStyle w:val="Normal"/>
        <w:spacing w:line="240" w:lineRule="auto"/>
        <w:keepNext/>
      </w:pPr>
      <w:r>
        <w:rPr>
          <w:sz w:val="28"/>
          <w:rFonts w:ascii="Times New Roman" w:hAnsi="Times New Roman"/>
        </w:rPr>
        <w:t xml:space="preserve">Bilješka 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671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iz nadležnog proračuna za financiranje redovne djelatnosti proračunskih korisnika (šifre 6711 do 6714)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671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83.707,00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Prihodi iz nadležnog proračuna za financiranje redovne djelatnosti u promatranom razdoblju 2026. g. iznose 83.707,00 EUR, uplaćeni su za financiranje rashoda poslovanja, a prethodne godine su uplaćeni u istom iznosu, ali u narednom razdoblju gdje je prva uplata bila u srpnju 2025. godine.</w:t>
      </w:r>
    </w:p>
    <w:p/>
    <w:p>
      <w:pPr>
        <w:jc w:val="center"/>
        <w:pStyle w:val="Normal"/>
        <w:spacing w:line="240" w:lineRule="auto"/>
        <w:keepNext/>
      </w:pPr>
      <w:r>
        <w:rPr>
          <w:sz w:val="28"/>
          <w:rFonts w:ascii="Times New Roman" w:hAnsi="Times New Roman"/>
        </w:rPr>
        <w:t xml:space="preserve">Bilješka 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673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HZZO-a na temelju ugovornih obveza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673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4.482.321,29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4.718.629,58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105,3</w:t>
            </w:r>
          </w:p>
        </w:tc>
      </w:tr>
    </w:tbl>
    <w:p>
      <w:pPr>
        <w:spacing w:before="0" w:after="0"/>
      </w:pPr>
    </w:p>
    <w:p>
      <w:pPr>
        <w:jc w:val="both"/>
      </w:pPr>
      <w:r>
        <w:t xml:space="preserve">Prihodi od HZZO-a na temelju ugovornih obveza veći su za 236.308,29 EUR ili 5,3% u odnosu na prethodno razdoblje i to zbog većih prihoda po ispostavljenim računima (EU kartice, lijekovi, postupci i kilometri), kao i većih prihoda na temelju ugovornih obveza, prvenstveno glavarine, za 177.533,70 EUR,  a zbog više fakturiranog, izmjena strukture sastava timova, nove ispostave Brinje kroz cijelo izvještajno razdoblje i rasta plaća zbog veće osnovice kroz cijelo izvještajno razdoblje 2026. godine. </w:t>
      </w:r>
    </w:p>
    <w:p/>
    <w:p>
      <w:pPr>
        <w:jc w:val="center"/>
        <w:pStyle w:val="Normal"/>
        <w:spacing w:line="240" w:lineRule="auto"/>
        <w:keepNext/>
      </w:pPr>
      <w:r>
        <w:rPr>
          <w:sz w:val="28"/>
          <w:rFonts w:ascii="Times New Roman" w:hAnsi="Times New Roman"/>
        </w:rPr>
        <w:t xml:space="preserve">Bilješka 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Plaće (bruto) (šifre 3111 do 3114)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2.730.617,61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2.963.915,30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108,5</w:t>
            </w:r>
          </w:p>
        </w:tc>
      </w:tr>
    </w:tbl>
    <w:p>
      <w:pPr>
        <w:spacing w:before="0" w:after="0"/>
      </w:pPr>
    </w:p>
    <w:p>
      <w:pPr>
        <w:jc w:val="both"/>
      </w:pPr>
      <w:r>
        <w:t xml:space="preserve">Plaće (bruto) bilježe povećanje od 233.297,69 ili 8,5% u odnosu na prethodno razdoblje zbog nove ispostave Brinje kroz cijelo izvještajno razdoblje i većeg broja zaposlenih, kao i rasta osnovice u dva navrata tijekom 2025. godine, što je primjenjivo kroz cijelo promatrano razdoblje 2026. godine, kao i povećanje osnovice u 2026. godini. U skladu s većim brojem radnika, povećanjem osnovne plaće, većim ostvarenim prihodima, kao i zbog zamjena za bolovanja i druge odsutnosti radnika, povećane su plaće i za redovan rad i manje je povećanje za prekovremeni rad (2,8%). Zbog sezonskih timova povećane su plaće za lipanj, a time i ukupni rashodi za zaposlene, pri čemu prihodi HZZO-a za sezonske timove se doznačuju tek počevši  od mjeseca srpnja.</w:t>
      </w:r>
    </w:p>
    <w:p>
      <w:r>
        <w:t xml:space="preserve"> </w:t>
      </w:r>
    </w:p>
    <w:p/>
    <w:p>
      <w:pPr>
        <w:jc w:val="center"/>
        <w:pStyle w:val="Normal"/>
        <w:spacing w:line="240" w:lineRule="auto"/>
        <w:keepNext/>
      </w:pPr>
      <w:r>
        <w:rPr>
          <w:sz w:val="28"/>
          <w:rFonts w:ascii="Times New Roman" w:hAnsi="Times New Roman"/>
        </w:rPr>
        <w:t xml:space="preserve">Bilješka 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rashodi za zaposlene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95.804,13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53.710,19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56,1</w:t>
            </w:r>
          </w:p>
        </w:tc>
      </w:tr>
    </w:tbl>
    <w:p>
      <w:pPr>
        <w:spacing w:before="0" w:after="0"/>
      </w:pPr>
    </w:p>
    <w:p>
      <w:pPr>
        <w:jc w:val="both"/>
      </w:pPr>
      <w:r>
        <w:t xml:space="preserve">Ostali rashodu za zaposlene bilježe smanjenje od 42.093,94 EUR ili 43,9 % u odnosu na prethodno razdoblje. Razlog tome je prvenstveno dinamika obračuna regresa koji je u 2026. godini obračunat i isplaćen u srpnju, a prethodne godine u mjesecu lipnju. </w:t>
      </w:r>
    </w:p>
    <w:p/>
    <w:p>
      <w:pPr>
        <w:jc w:val="center"/>
        <w:pStyle w:val="Normal"/>
        <w:spacing w:line="240" w:lineRule="auto"/>
        <w:keepNext/>
      </w:pPr>
      <w:r>
        <w:rPr>
          <w:sz w:val="28"/>
          <w:rFonts w:ascii="Times New Roman" w:hAnsi="Times New Roman"/>
        </w:rPr>
        <w:t xml:space="preserve">Bilješka 10.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Doprinosi na plaće (šifre 3131 do 3133)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357.176,44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373.651,24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104,6</w:t>
            </w:r>
          </w:p>
        </w:tc>
      </w:tr>
    </w:tbl>
    <w:p>
      <w:pPr>
        <w:spacing w:before="0" w:after="0"/>
      </w:pPr>
    </w:p>
    <w:p>
      <w:pPr>
        <w:jc w:val="both"/>
      </w:pPr>
      <w:r>
        <w:t xml:space="preserve">Doprinosi na plaće su povećani za 16.474,8 EUR ili 4,6 % u odnosu na prethodno razdoblje, a isto je u skladu s povećanjem plaća, kao i zbog ukidanja dijela olakšica za poslodavce - oslobođenja plaćanja doprinosa na plaće za mlade osobe.</w:t>
      </w:r>
    </w:p>
    <w:p>
      <w:r>
        <w:t xml:space="preserve"> </w:t>
      </w:r>
    </w:p>
    <w:p/>
    <w:p>
      <w:pPr>
        <w:jc w:val="center"/>
        <w:pStyle w:val="Normal"/>
        <w:spacing w:line="240" w:lineRule="auto"/>
        <w:keepNext/>
      </w:pPr>
      <w:r>
        <w:rPr>
          <w:sz w:val="28"/>
          <w:rFonts w:ascii="Times New Roman" w:hAnsi="Times New Roman"/>
        </w:rPr>
        <w:t xml:space="preserve">Bilješka 11.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3211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Službena putovanja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27.480,94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31.843,32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115,9</w:t>
            </w:r>
          </w:p>
        </w:tc>
      </w:tr>
    </w:tbl>
    <w:p>
      <w:pPr>
        <w:spacing w:before="0" w:after="0"/>
      </w:pPr>
    </w:p>
    <w:p>
      <w:pPr>
        <w:jc w:val="both"/>
      </w:pPr>
      <w:r>
        <w:t xml:space="preserve">Službena putovanja su povećana za 15,9 % ili 4.362,38 EUR zbog većih troškova dnevnica koje se u Zavodu uglavnom odnose na dnevnice djelatnika sanitetskog prijevoza, gdje je povećanje uvjetovano većim brojem sanitetskih prijevoza, dužim trajanjem istih i sl.</w:t>
      </w:r>
    </w:p>
    <w:p/>
    <w:p>
      <w:pPr>
        <w:jc w:val="center"/>
        <w:pStyle w:val="Normal"/>
        <w:spacing w:line="240" w:lineRule="auto"/>
        <w:keepNext/>
      </w:pPr>
      <w:r>
        <w:rPr>
          <w:sz w:val="28"/>
          <w:rFonts w:ascii="Times New Roman" w:hAnsi="Times New Roman"/>
        </w:rPr>
        <w:t xml:space="preserve">Bilješka 12.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Ostale naknade troškova zaposlenima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6.200,00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10.698,05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172,5</w:t>
            </w:r>
          </w:p>
        </w:tc>
      </w:tr>
    </w:tbl>
    <w:p>
      <w:pPr>
        <w:spacing w:before="0" w:after="0"/>
      </w:pPr>
    </w:p>
    <w:p>
      <w:pPr>
        <w:jc w:val="both"/>
      </w:pPr>
      <w:r>
        <w:t xml:space="preserve">Ostale naknade troškova zaposlenima su u promatranom razdoblju 2026. g. veće za 4.498,05 EUR zbog većeg broja radnika iz deficitarnih zanimanja (liječnici, med. sestre/tehničari) kojima se refundiraju troškovi smještaja, pri čemu troškove smještaja radnika u Novalji Zavodu financira Grad Novalja.</w:t>
      </w:r>
    </w:p>
    <w:p/>
    <w:p>
      <w:pPr>
        <w:jc w:val="center"/>
        <w:pStyle w:val="Normal"/>
        <w:spacing w:line="240" w:lineRule="auto"/>
        <w:keepNext/>
      </w:pPr>
      <w:r>
        <w:rPr>
          <w:sz w:val="28"/>
          <w:rFonts w:ascii="Times New Roman" w:hAnsi="Times New Roman"/>
        </w:rPr>
        <w:t xml:space="preserve">Bilješka 13.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Energija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169.702,72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215.011,22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126,7</w:t>
            </w:r>
          </w:p>
        </w:tc>
      </w:tr>
    </w:tbl>
    <w:p>
      <w:pPr>
        <w:spacing w:before="0" w:after="0"/>
      </w:pPr>
    </w:p>
    <w:p>
      <w:pPr>
        <w:jc w:val="both"/>
      </w:pPr>
      <w:r>
        <w:t xml:space="preserve">Energija je povećana za 45.308,50 EUR ili 26,7 % jer su povećani troškovi za električnu energiju i ostale energente (lož ulje, pelet i dr.) za oko 11.000 EUR, po računima koje Zavod refundira u ugovorenim postotcima Domu zdravlja Ličko-senjske županije, a za korištenje prostora u njihovom vlasništvu u kojem se nalaze ispostave Zavoda – hitna medicinska pomoći i prostori za djelatnost saniteta (Brinje, Otočac, Korenica, Senj, Gospić, Lovinac, Novalja). Oko 34.000 EUR su povećani i rashodi za benzin i dizel gorivo (djelatnost hitne medicinske pomoći i sanitetskog prijevoza) zbog rasta cijena i većeg broja prijeđenih kilometara.</w:t>
      </w:r>
    </w:p>
    <w:p/>
    <w:p>
      <w:pPr>
        <w:jc w:val="center"/>
        <w:pStyle w:val="Normal"/>
        <w:spacing w:line="240" w:lineRule="auto"/>
        <w:keepNext/>
      </w:pPr>
      <w:r>
        <w:rPr>
          <w:sz w:val="28"/>
          <w:rFonts w:ascii="Times New Roman" w:hAnsi="Times New Roman"/>
        </w:rPr>
        <w:t xml:space="preserve">Bilješka 14.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Sitni inventar i autogume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17.865,94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45.162,58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252,8</w:t>
            </w:r>
          </w:p>
        </w:tc>
      </w:tr>
    </w:tbl>
    <w:p>
      <w:pPr>
        <w:spacing w:before="0" w:after="0"/>
      </w:pPr>
    </w:p>
    <w:p>
      <w:pPr>
        <w:jc w:val="both"/>
      </w:pPr>
      <w:r>
        <w:t xml:space="preserve">Sitni inventar i auto gume bilježe povećanje za 27.296,64 EUR zbog povećane nabave sitnog inventara za oko 22.000 EUR (platnena nosila, pulsni oksimetri, stetoskopi, toplomjeri, laringoskop setovi, setovi za konikotomiju, splint udlage, prsluci za imobilizaciju, stabilizatori zdjelice, rezač odjeće i dr.) - opremanje sanitetskih vozila Zavoda, sukladno novim Pravilnicima, kao i redovno opremanja djelatnosti hitne medicine. Povećani su i rashodi za nabavu auto guma (oko 5.000 EUR), što ovisi o trenutnim potrebama i broju dotrajalosti postojećih. </w:t>
      </w:r>
    </w:p>
    <w:p/>
    <w:p>
      <w:pPr>
        <w:jc w:val="center"/>
        <w:pStyle w:val="Normal"/>
        <w:spacing w:line="240" w:lineRule="auto"/>
        <w:keepNext/>
      </w:pPr>
      <w:r>
        <w:rPr>
          <w:sz w:val="28"/>
          <w:rFonts w:ascii="Times New Roman" w:hAnsi="Times New Roman"/>
        </w:rPr>
        <w:t xml:space="preserve">Bilješka 15.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Službena, radna i zaštitna odjeća i obuća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10.710,88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19.312,26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180,3</w:t>
            </w:r>
          </w:p>
        </w:tc>
      </w:tr>
    </w:tbl>
    <w:p>
      <w:pPr>
        <w:spacing w:before="0" w:after="0"/>
      </w:pPr>
    </w:p>
    <w:p>
      <w:pPr>
        <w:jc w:val="both"/>
      </w:pPr>
      <w:r>
        <w:t xml:space="preserve">Rashodi za nabavu službene, radne i zaštitne odjeće i obuće su povećani za 8.601,38 EUR zbog nabave odjeće za radnike sanitetskog prijevoza i radnike hitne medicine prema novim pravilnicima i standardima gdje je izgled iste potpuno promijenjen te je bila nužna nabava potpuno novih kompleta radne odjeće. S postupkom nabave započelo se  još u 2025. godini, a preostale isporuke izvršene su u 2026. g. </w:t>
      </w:r>
    </w:p>
    <w:p/>
    <w:p>
      <w:pPr>
        <w:jc w:val="center"/>
        <w:pStyle w:val="Normal"/>
        <w:spacing w:line="240" w:lineRule="auto"/>
        <w:keepNext/>
      </w:pPr>
      <w:r>
        <w:rPr>
          <w:sz w:val="28"/>
          <w:rFonts w:ascii="Times New Roman" w:hAnsi="Times New Roman"/>
        </w:rPr>
        <w:t xml:space="preserve">Bilješka 16.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Usluge tekućeg i investicijskog održavanja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169.421,68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236.769,56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139,8</w:t>
            </w:r>
          </w:p>
        </w:tc>
      </w:tr>
    </w:tbl>
    <w:p>
      <w:pPr>
        <w:spacing w:before="0" w:after="0"/>
      </w:pPr>
    </w:p>
    <w:p>
      <w:pPr>
        <w:jc w:val="both"/>
      </w:pPr>
      <w:r>
        <w:t xml:space="preserve">Usluge tekućeg i investicijskog održavanja su povećane za 67.347,88 EUR zbog povećanja troškova održavanja prijevoznih sredstava za oko 78.000 EUR, koji su povećani zbog potrebe zamjene ili reparacije motora na četiri vozila saniteta i HMP te sve starijih vozila i povećanja troškova održavanja. Zavod ima ukupno 65 vozila, od čega 3 osobna, 24 HMP i 38 vozila saniteta te se kontinuirano radi na zamjeni starijih vozila dinamikom koju dozvoljavaju okolnosti. Ostale stavke unutar ove pozicije su smanjene ili zadržane na istoj razini kao i prethodne godine. </w:t>
      </w:r>
    </w:p>
    <w:p/>
    <w:p>
      <w:pPr>
        <w:jc w:val="center"/>
        <w:pStyle w:val="Normal"/>
        <w:spacing w:line="240" w:lineRule="auto"/>
        <w:keepNext/>
      </w:pPr>
      <w:r>
        <w:rPr>
          <w:sz w:val="28"/>
          <w:rFonts w:ascii="Times New Roman" w:hAnsi="Times New Roman"/>
        </w:rPr>
        <w:t xml:space="preserve">Bilješka 17.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Zdravstvene i veterinarske usluge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3.803,45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8.411,63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221,2</w:t>
            </w:r>
          </w:p>
        </w:tc>
      </w:tr>
    </w:tbl>
    <w:p>
      <w:pPr>
        <w:spacing w:before="0" w:after="0"/>
      </w:pPr>
    </w:p>
    <w:p>
      <w:pPr>
        <w:jc w:val="both"/>
      </w:pPr>
      <w:r>
        <w:t xml:space="preserve">Zdravstvene usluge su povećane za 4.608,18 EUR zbog povećanog angažiranja vanjskih doktora u timovima HMP, uslijed nedostatka vlastitih, a sukladno sklopljenom ugovoru s drugom zdravstvenom ustanovom, poslodavcem radnika koji pružaju usluge dežurstva.</w:t>
      </w:r>
    </w:p>
    <w:p/>
    <w:p>
      <w:pPr>
        <w:jc w:val="center"/>
        <w:pStyle w:val="Normal"/>
        <w:spacing w:line="240" w:lineRule="auto"/>
        <w:keepNext/>
      </w:pPr>
      <w:r>
        <w:rPr>
          <w:sz w:val="28"/>
          <w:rFonts w:ascii="Times New Roman" w:hAnsi="Times New Roman"/>
        </w:rPr>
        <w:t xml:space="preserve">Bilješka 18.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Intelektualne i osobne usluge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471.073,60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435.132,52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92,4</w:t>
            </w:r>
          </w:p>
        </w:tc>
      </w:tr>
    </w:tbl>
    <w:p>
      <w:pPr>
        <w:spacing w:before="0" w:after="0"/>
      </w:pPr>
    </w:p>
    <w:p>
      <w:pPr>
        <w:jc w:val="both"/>
      </w:pPr>
      <w:r>
        <w:t xml:space="preserve">Intelektualne i osobne usluge smanjene su za 35.941,08 EUR ili 7,6 % zbog manjeg broja vanjskih radnika s kojima su sklopljeni ugovori o obavljanju poslova dr. med. ili med. sestre/tehničara u timovima HMP, odnosno manjeg broja odrađenih sati, zbog dostatnosti vlastitih radnika za popunjavanje većeg broja smjena u timovima HMP, što dovodi do većih troškova plaća, ali smanjenja ove pozicije.</w:t>
      </w:r>
    </w:p>
    <w:p>
      <w:r>
        <w:t xml:space="preserve"> </w:t>
      </w:r>
    </w:p>
    <w:p/>
    <w:p>
      <w:pPr>
        <w:jc w:val="center"/>
        <w:pStyle w:val="Normal"/>
        <w:spacing w:line="240" w:lineRule="auto"/>
        <w:keepNext/>
      </w:pPr>
      <w:r>
        <w:rPr>
          <w:sz w:val="28"/>
          <w:rFonts w:ascii="Times New Roman" w:hAnsi="Times New Roman"/>
        </w:rPr>
        <w:t xml:space="preserve">Bilješka 19.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Računalne usluge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935,24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4.905,81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524,6</w:t>
            </w:r>
          </w:p>
        </w:tc>
      </w:tr>
    </w:tbl>
    <w:p>
      <w:pPr>
        <w:spacing w:before="0" w:after="0"/>
      </w:pPr>
    </w:p>
    <w:p>
      <w:pPr>
        <w:jc w:val="both"/>
      </w:pPr>
      <w:r>
        <w:t xml:space="preserve">Računalne usluge su povećane za 3.970,57 EUR zbog ažuriranja i nadogradnje telefonske centrale.</w:t>
      </w:r>
    </w:p>
    <w:p/>
    <w:p>
      <w:pPr>
        <w:jc w:val="center"/>
        <w:pStyle w:val="Normal"/>
        <w:spacing w:line="240" w:lineRule="auto"/>
        <w:keepNext/>
      </w:pPr>
      <w:r>
        <w:rPr>
          <w:sz w:val="28"/>
          <w:rFonts w:ascii="Times New Roman" w:hAnsi="Times New Roman"/>
        </w:rPr>
        <w:t xml:space="preserve">Bilješka 20.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Ostale usluge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26.074,06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32.461,53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124,5</w:t>
            </w:r>
          </w:p>
        </w:tc>
      </w:tr>
    </w:tbl>
    <w:p>
      <w:pPr>
        <w:spacing w:before="0" w:after="0"/>
      </w:pPr>
    </w:p>
    <w:p>
      <w:pPr>
        <w:jc w:val="both"/>
      </w:pPr>
      <w:r>
        <w:t xml:space="preserve">Ostale usluge su povećane u promatranom razdoblju 2026. g. za 6.387,47 EUR zbog povećanja rashoda registracije vozila uslijed nabavljenih novih vozila i zbog većih usluga čišćenja jer je početkom godine bio ugovoren servis zbog dugoročnog bolovanja radnice, dok se nije popunilo radno mjesto (zamjena), kao i zbog rasta cijena troškova čišćenja ispostava Zavoda.</w:t>
      </w:r>
    </w:p>
    <w:p/>
    <w:p>
      <w:pPr>
        <w:jc w:val="center"/>
        <w:pStyle w:val="Normal"/>
        <w:spacing w:line="240" w:lineRule="auto"/>
        <w:keepNext/>
      </w:pPr>
      <w:r>
        <w:rPr>
          <w:sz w:val="28"/>
          <w:rFonts w:ascii="Times New Roman" w:hAnsi="Times New Roman"/>
        </w:rPr>
        <w:t xml:space="preserve">Bilješka 21.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3251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 osnovi utroška lijekova i potrošnog medicinskog materijala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3251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28.547,26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35.566,45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124,6</w:t>
            </w:r>
          </w:p>
        </w:tc>
      </w:tr>
    </w:tbl>
    <w:p>
      <w:pPr>
        <w:spacing w:before="0" w:after="0"/>
      </w:pPr>
    </w:p>
    <w:p>
      <w:pPr>
        <w:jc w:val="both"/>
      </w:pPr>
      <w:r>
        <w:t xml:space="preserve">Rashodi po osnovi utroška lijekova i potrošnog medicinsko materijala su veći za 7.019,19 EUR, zbog većeg utroška potrošnog medicinskog materijala i pojedinih lijekova, a u skladu s trenutnim potrebama. </w:t>
      </w:r>
    </w:p>
    <w:p>
      <w:r>
        <w:t xml:space="preserve"> </w:t>
      </w:r>
    </w:p>
    <w:p/>
    <w:p>
      <w:pPr>
        <w:jc w:val="center"/>
        <w:pStyle w:val="Normal"/>
        <w:spacing w:line="240" w:lineRule="auto"/>
        <w:keepNext/>
      </w:pPr>
      <w:r>
        <w:rPr>
          <w:sz w:val="28"/>
          <w:rFonts w:ascii="Times New Roman" w:hAnsi="Times New Roman"/>
        </w:rPr>
        <w:t xml:space="preserve">Bilješka 22.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Naknade za rad predstavničkih i izvršnih tijela, povjerenstava i slično</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6.128,60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11.771,24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192,1</w:t>
            </w:r>
          </w:p>
        </w:tc>
      </w:tr>
    </w:tbl>
    <w:p>
      <w:pPr>
        <w:spacing w:before="0" w:after="0"/>
      </w:pPr>
    </w:p>
    <w:p>
      <w:pPr>
        <w:jc w:val="both"/>
      </w:pPr>
      <w:r>
        <w:t xml:space="preserve">Naknade za rad predsjednika i članova Upravnih vijeća znatno su povećane Odlukom Ministarstva zdravstva iz siječnja 2026. godine te su stoga rashodi veći za 5.642,64 EUR ili 92,1 %.</w:t>
      </w:r>
    </w:p>
    <w:p/>
    <w:p>
      <w:pPr>
        <w:jc w:val="center"/>
        <w:pStyle w:val="Normal"/>
        <w:spacing w:line="240" w:lineRule="auto"/>
        <w:keepNext/>
      </w:pPr>
      <w:r>
        <w:rPr>
          <w:sz w:val="28"/>
          <w:rFonts w:ascii="Times New Roman" w:hAnsi="Times New Roman"/>
        </w:rPr>
        <w:t xml:space="preserve">Bilješka 23.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Premije osiguranja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17.508,41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21.846,12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124,8</w:t>
            </w:r>
          </w:p>
        </w:tc>
      </w:tr>
    </w:tbl>
    <w:p>
      <w:pPr>
        <w:spacing w:before="0" w:after="0"/>
      </w:pPr>
    </w:p>
    <w:p>
      <w:pPr>
        <w:jc w:val="both"/>
      </w:pPr>
      <w:r>
        <w:t xml:space="preserve">Premije osiguranja su u promatranom razdoblju 2026. godine veće za 4.337,71 EUR zbog sedam novih vozila sanitetskog prijevoza i dva nova vozila HMP i time većih premija osiguranja prijevoznih sredstava.</w:t>
      </w:r>
    </w:p>
    <w:p/>
    <w:p>
      <w:pPr>
        <w:jc w:val="center"/>
        <w:pStyle w:val="Normal"/>
        <w:spacing w:line="240" w:lineRule="auto"/>
        <w:keepNext/>
      </w:pPr>
      <w:r>
        <w:rPr>
          <w:sz w:val="28"/>
          <w:rFonts w:ascii="Times New Roman" w:hAnsi="Times New Roman"/>
        </w:rPr>
        <w:t xml:space="preserve">Bilješka 24.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3433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Zatezne kamate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3433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84,63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pPr>
        <w:jc w:val="both"/>
      </w:pPr>
      <w:r>
        <w:t xml:space="preserve">Zateznih kamata u promatranom razdoblju 2026. g. nije bilo, dok su prethodne godine u istom razdoblju iznosile 84,63 EUR i odnosile su se na zakašnjela plaćanja po računima za gorivo.</w:t>
      </w:r>
    </w:p>
    <w:p/>
    <w:p>
      <w:pPr>
        <w:jc w:val="center"/>
        <w:pStyle w:val="Normal"/>
        <w:spacing w:line="240" w:lineRule="auto"/>
        <w:keepNext/>
      </w:pPr>
      <w:r>
        <w:rPr>
          <w:sz w:val="28"/>
          <w:rFonts w:ascii="Times New Roman" w:hAnsi="Times New Roman"/>
        </w:rPr>
        <w:t xml:space="preserve">Bilješka 25.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proizvedene dugotrajne imovine (šifre 721+722+723+724+725+726)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2.120,00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pPr>
        <w:jc w:val="both"/>
      </w:pPr>
      <w:r>
        <w:t xml:space="preserve">Prihodi od prodaje proizvedene dugotrajne imovine iznose 2.120, 00 EUR i odnose se na prodaju jednog dotrajalog, neupotrebljivog i rashodovanog vozila Zavoda koje je služilo za obavljanje djelatnosti sanitetskog prijevoza.</w:t>
      </w:r>
    </w:p>
    <w:p/>
    <w:p>
      <w:pPr>
        <w:jc w:val="center"/>
        <w:pStyle w:val="Normal"/>
        <w:spacing w:line="240" w:lineRule="auto"/>
        <w:keepNext/>
      </w:pPr>
      <w:r>
        <w:rPr>
          <w:sz w:val="28"/>
          <w:rFonts w:ascii="Times New Roman" w:hAnsi="Times New Roman"/>
        </w:rPr>
        <w:t xml:space="preserve">Bilješka 26.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Postrojenja i oprema (šifre 4221 do 4228)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31.622,47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139.551,10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441,3</w:t>
            </w:r>
          </w:p>
        </w:tc>
      </w:tr>
    </w:tbl>
    <w:p>
      <w:pPr>
        <w:spacing w:before="0" w:after="0"/>
      </w:pPr>
    </w:p>
    <w:p>
      <w:pPr>
        <w:jc w:val="both"/>
      </w:pPr>
      <w:r>
        <w:t xml:space="preserve">Rashodi za postrojenja i opremu u promatranom razdoblju 2026. godine, u odnosu na isti razdoblje prethodne godine, su povećani za 107.928,63 EUR zbog veće nabave komunikacijske opreme u vidu motorola za vozila Zavoda, kuhinje za ispostavu Otočac, klimatizacijskih uređaja za ispostavu Novalja i medicinske opreme u vrijednosti od 99.901,38 EUR (18 kom. automatskih defibrilatora s ormarićem i 14 prijenosnih aspiratora za sanitetsku djelatnost sukladno novim Pravilnicima,  3 Oxyloga, samoutovarno nosilo za pacijente i ostala oprema za djelatnost hitne medicine).</w:t>
      </w:r>
    </w:p>
    <w:p/>
    <w:p>
      <w:pPr>
        <w:jc w:val="center"/>
        <w:pStyle w:val="Normal"/>
        <w:spacing w:line="240" w:lineRule="auto"/>
        <w:keepNext/>
      </w:pPr>
      <w:r>
        <w:rPr>
          <w:sz w:val="28"/>
          <w:rFonts w:ascii="Times New Roman" w:hAnsi="Times New Roman"/>
        </w:rPr>
        <w:t xml:space="preserve">Bilješka 27.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Prijevozna sredstva (šifre 4231 do 4234)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1.051.280,01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pPr>
        <w:jc w:val="both"/>
      </w:pPr>
      <w:r>
        <w:t xml:space="preserve">Rashodi za prijevozna sredstva u promatranom razdoblju 2026. godine iznose 1.051.280,01 EUR i odnose se na nabavu 7 novi vozila za obavljanje djelatnosti sanitetskog prijevoza za koja je nabava pokrenuta u 2025. godini, a vozila isporučena u promatranom razdoblju 2026. godine. Također, nabavljena su i dva vozila za djelatnost hitne medicinske pomoći te je knjižena osnovica, a troškovi PDV-a se prijavljuju, evidentiraju i plaćaju u srpnju 2026. godine po predaji PDV obrasca, s obzirom da su vozila nabavljena iz druge zemlje članice EU te isporučena u lipnju 2026. godine.  Financiranje vozila je planirano iz prenesenog viška prihoda Zavoda.</w:t>
      </w:r>
    </w:p>
    <w:p>
      <w:r>
        <w:t xml:space="preserve"> </w:t>
      </w:r>
    </w:p>
    <w:p/>
    <w:p>
      <w:pPr>
        <w:jc w:val="center"/>
        <w:pStyle w:val="Normal"/>
        <w:spacing w:line="240" w:lineRule="auto"/>
        <w:keepNext/>
      </w:pPr>
      <w:r>
        <w:rPr>
          <w:sz w:val="28"/>
          <w:rFonts w:ascii="Times New Roman" w:hAnsi="Times New Roman"/>
        </w:rPr>
        <w:t xml:space="preserve">Bilješka 28.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518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jamčevne pologe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518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9.156,00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pPr>
        <w:jc w:val="both"/>
      </w:pPr>
      <w:r>
        <w:t xml:space="preserve">Izdaci za jamčevne pologe nisu izvršeni, dok su u istom razdoblju prethodne godine iznosili 9.156,00 EUR te su se odnosili na dane jamčevne pologe. U ovoj godini nije bilo davanja jamčevnih pologa u postupcima javne nabave, a povrat ranije danih jamčevnih pologa očekuje se u narednom razdoblju 2026. g.</w:t>
      </w:r>
    </w:p>
    <w:p/>
    <w:p>
      <w:pPr>
        <w:jc w:val="center"/>
        <w:pStyle w:val="Normal"/>
        <w:spacing w:line="240" w:lineRule="auto"/>
        <w:keepNext/>
      </w:pPr>
      <w:r>
        <w:rPr>
          <w:b/>
          <w:sz w:val="28"/>
          <w:rFonts w:ascii="Times New Roman" w:hAnsi="Times New Roman"/>
        </w:rPr>
        <w:t xml:space="preserve">Izvještaj o obvezama</w:t>
      </w:r>
    </w:p>
    <w:p>
      <w:pPr>
        <w:jc w:val="center"/>
        <w:pStyle w:val="Normal"/>
        <w:spacing w:line="240" w:lineRule="auto"/>
        <w:keepNext/>
      </w:pPr>
      <w:r>
        <w:rPr>
          <w:sz w:val="28"/>
          <w:rFonts w:ascii="Times New Roman" w:hAnsi="Times New Roman"/>
        </w:rPr>
        <w:t xml:space="preserve">Bilješka 29.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dospjelih obveza na kraju izvještajnog razdoblja (šifre V008+D23+D24 + 'D dio 25,26' + D27)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1.357,87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pPr>
        <w:jc w:val="both"/>
      </w:pPr>
      <w:r>
        <w:t xml:space="preserve">Dospjele obveze iznose 1.357,87 EUR. Iznos od 1.339,44 EUR se odnosi na račun koji je dostavljen naknadno, odnosno podmiren je sa zakašnjenjem zbog kasnijeg zaprimanja cjelokupne dokumentacije potrebne za kompletiranje i plaćanje računa. Preostali iznos se odnosi na 18,43 EUR obveza za koje je potrebno provesti dodatnu provjeru usklađenja s dobavljačima te riješiti, odnosno po potrebi otpisati kada se za isto stvore preduvjeti.</w:t>
      </w:r>
    </w:p>
    <w:p/>
    <w:p>
      <w:pPr>
        <w:jc w:val="center"/>
        <w:pStyle w:val="Normal"/>
        <w:spacing w:line="240" w:lineRule="auto"/>
        <w:keepNext/>
      </w:pPr>
      <w:r>
        <w:rPr>
          <w:sz w:val="28"/>
          <w:rFonts w:ascii="Times New Roman" w:hAnsi="Times New Roman"/>
        </w:rPr>
        <w:t xml:space="preserve">Bilješka 30.</w:t>
      </w:r>
    </w:p>
    <w:p>
      <w:pPr>
        <w:jc w:val="both"/>
        <w:pStyle w:val="Normal"/>
        <w:spacing w:line="240" w:lineRule="auto"/>
      </w:pPr>
      <w:r>
        <w:rPr>
          <w:b/>
          <w:sz w:val="24"/>
          <w:rFonts w:ascii="Times New Roman" w:hAnsi="Times New Roman"/>
        </w:rPr>
        <w:t xml:space="preserve">EU izvještaj</w:t>
      </w:r>
    </w:p>
    <w:p>
      <w:pPr>
        <w:jc w:val="both"/>
      </w:pPr>
      <w:r>
        <w:t xml:space="preserve">U promatranom razdoblju su ostvareni prihodi u iznosu od 66.020,69 EUR te se odnose na refundaciju troškova po prvom i drugom zahtjevu za nadoknadu sredstava u sklopu „specijalističkog usavršavanja medicinskih sestara i tehničara u djelatnosti hitne medicine – 2 faza“. Ostvarenje prihoda po sljedećim ZNS-ovima se očekuje u narednom razdoblju jer je zaprimljeno odobrenje s iznosom prihvaćenih troškova. Razdoblje provedbe projekta je od 4. studenog 2024. godine do 4. lipnja 2026. godine i troškovi se plaćaju po metodi nadoknade. Rashodi u promatranom razdoblju 2026. godine iznose 2.823,07 EUR i odnose se na naknade isplaćene za mentorstva i troškove Opće bolnice Gospić za praktični dio usavršavanja  te su uključeni u treći zahtjev za nadoknadom sredstava gdje je knjiženo potraživanje i čeka se plaćanje. Sukladno Okružnici, podaci  o prihodima i rashodima su popunjeni samo u stupcu za tekuće razdoblje.</w:t>
      </w:r>
    </w:p>
    <w:p>
      <w:pPr>
        <w:jc w:val="both"/>
      </w:pPr>
      <w:r>
        <w:t xml:space="preserve">Zbroj prometna dugovne strane, bez početnog stanja iznosi 66.020,69 EUR, a potražne strane 70.467,69 EUR te stanje potraživanja i obračunatih prihoda na dan 30.6.2026. godine iznosi 4.447,00 EUR jer se očekuje uplata navedenog iznosa po odobrenom ZNS-u.</w:t>
      </w:r>
    </w:p>
    <w:p>
      <w:pPr>
        <w:jc w:val="both"/>
      </w:pPr>
      <w:r>
        <w:t xml:space="preserve">Stanje izvanbilančnih zapisa na 1.1.2026. g. je iznosilo 85.250,71 EUR te je isto umanjeno za 66.020,69 EUR potraživanih i uplaćenih sredstava te 14.600,87 EUR neiskorištenih sredstava po ugovoru sklopljenom za prvu fazu provođenja istog projekta jer su prihvatljivi troškovi bili manji od ukupno ugovorenog iznosa, kao i za 4.447,00 EUR potraživanih sredstava po ZNS 3 druge faze projekta. Stoga, stanje na 30.06.2026. g. iznosi 182,15 EUR preostalih raspoloživih sredstava po sklopljenom ugovoru za 2. fazu projekta.</w:t>
      </w:r>
    </w:p>
    <w:p/>
  </w:body>
</w:document>
</file>

<file path=word/styles.xml><?xml version="1.0" encoding="utf-8"?>
<w:styles xmlns:w="http://schemas.openxmlformats.org/wordprocessingml/2006/main">
  <w:docDefaults>
    <w:rPrDefault>
      <w:rPr>
        <w:rFonts w:ascii="Times New Roman" w:hAnsi="Times New Roman"/>
        <w:sz w:val="24"/>
      </w:rPr>
    </w:rPrDefault>
  </w:docDefaults>
  <w:style w:type="paragraph" w:styleId="Normal" w:default="true">
    <w:name w:val="Normal"/>
    <w:rPr>
      <w:rFonts w:ascii="Times New Roman" w:hAnsi="Times New Roman"/>
      <w:sz w:val="24"/>
    </w:rPr>
  </w:style>
</w:styles>
</file>

<file path=word/_rels/document.xml.rels>&#65279;<?xml version="1.0" encoding="utf-8"?><Relationships xmlns="http://schemas.openxmlformats.org/package/2006/relationships"><Relationship Type="http://schemas.openxmlformats.org/officeDocument/2006/relationships/styles" Target="/word/styles.xml" Id="R4b03251ea6c545d5" /></Relationships>
</file>